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E2" w:rsidRDefault="00C51FE2"/>
    <w:p w:rsidR="00C51FE2" w:rsidRDefault="00C51FE2">
      <w:pPr>
        <w:pStyle w:val="Heading1"/>
        <w:rPr>
          <w:sz w:val="20"/>
        </w:rPr>
      </w:pPr>
      <w:r>
        <w:rPr>
          <w:sz w:val="20"/>
        </w:rPr>
        <w:t xml:space="preserve">CARTA DE GERENCIA O  DE </w:t>
      </w:r>
      <w:smartTag w:uri="urn:schemas-microsoft-com:office:smarttags" w:element="PersonName">
        <w:smartTagPr>
          <w:attr w:name="ProductID" w:val="LA DIRECCION"/>
        </w:smartTagPr>
        <w:r>
          <w:rPr>
            <w:sz w:val="20"/>
          </w:rPr>
          <w:t>LA DIRECCION</w:t>
        </w:r>
      </w:smartTag>
    </w:p>
    <w:p w:rsidR="00C51FE2" w:rsidRDefault="00C51FE2">
      <w:pPr>
        <w:rPr>
          <w:sz w:val="20"/>
        </w:rPr>
      </w:pPr>
    </w:p>
    <w:p w:rsidR="00C51FE2" w:rsidRDefault="00C51FE2">
      <w:pPr>
        <w:jc w:val="both"/>
        <w:rPr>
          <w:sz w:val="20"/>
        </w:rPr>
      </w:pPr>
      <w:r>
        <w:rPr>
          <w:sz w:val="20"/>
        </w:rPr>
        <w:t>Señor</w:t>
      </w:r>
    </w:p>
    <w:p w:rsidR="00C51FE2" w:rsidRDefault="00C51FE2">
      <w:pPr>
        <w:jc w:val="both"/>
        <w:rPr>
          <w:sz w:val="20"/>
        </w:rPr>
      </w:pPr>
      <w:r>
        <w:rPr>
          <w:sz w:val="20"/>
        </w:rPr>
        <w:t xml:space="preserve">Dr. </w:t>
      </w: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jc w:val="both"/>
        <w:rPr>
          <w:sz w:val="20"/>
        </w:rPr>
      </w:pPr>
      <w:r>
        <w:rPr>
          <w:sz w:val="20"/>
        </w:rPr>
        <w:t xml:space="preserve">En relación a lo contemplado por </w:t>
      </w:r>
      <w:smartTag w:uri="urn:schemas-microsoft-com:office:smarttags" w:element="PersonName">
        <w:smartTagPr>
          <w:attr w:name="ProductID" w:val="la Resolución AFIP"/>
        </w:smartTagPr>
        <w:r>
          <w:rPr>
            <w:sz w:val="20"/>
          </w:rPr>
          <w:t>la Resolución AFIP</w:t>
        </w:r>
      </w:smartTag>
      <w:r>
        <w:rPr>
          <w:sz w:val="20"/>
        </w:rPr>
        <w:t xml:space="preserve"> Nro.1122 y a efectos de brindar los elementos que le permitan desarrollar su labor profesional acorde a los lineamientos considerados en la citada Resolución, es que confirmamos, según nuestro leal saber y entender, las siguientes manifestaciones:</w:t>
      </w: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numPr>
          <w:ilvl w:val="0"/>
          <w:numId w:val="2"/>
        </w:numPr>
        <w:jc w:val="both"/>
        <w:rPr>
          <w:sz w:val="20"/>
        </w:rPr>
      </w:pPr>
      <w:smartTag w:uri="urn:schemas-microsoft-com:office:smarttags" w:element="PersonName">
        <w:smartTagPr>
          <w:attr w:name="ProductID" w:val="La Sociedad ABCDE"/>
        </w:smartTagPr>
        <w:r>
          <w:rPr>
            <w:sz w:val="20"/>
          </w:rPr>
          <w:t>La Sociedad ABCDE</w:t>
        </w:r>
      </w:smartTag>
      <w:r>
        <w:rPr>
          <w:sz w:val="20"/>
        </w:rPr>
        <w:t xml:space="preserve"> S.A con CUIT N° ... realiza las siguientes actividades:</w:t>
      </w: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numPr>
          <w:ilvl w:val="0"/>
          <w:numId w:val="1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>Xx</w:t>
      </w:r>
    </w:p>
    <w:p w:rsidR="00C51FE2" w:rsidRDefault="00C51FE2">
      <w:pPr>
        <w:numPr>
          <w:ilvl w:val="0"/>
          <w:numId w:val="1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>Xx</w:t>
      </w:r>
    </w:p>
    <w:p w:rsidR="00C51FE2" w:rsidRDefault="00C51FE2">
      <w:pPr>
        <w:numPr>
          <w:ilvl w:val="0"/>
          <w:numId w:val="1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>Xx</w:t>
      </w:r>
    </w:p>
    <w:p w:rsidR="00C51FE2" w:rsidRDefault="00C51FE2">
      <w:pPr>
        <w:numPr>
          <w:ilvl w:val="0"/>
          <w:numId w:val="1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>Xx.</w:t>
      </w:r>
    </w:p>
    <w:p w:rsidR="00C51FE2" w:rsidRDefault="00C51FE2">
      <w:pPr>
        <w:jc w:val="both"/>
        <w:rPr>
          <w:sz w:val="20"/>
          <w:lang w:val="en-US"/>
        </w:rPr>
      </w:pPr>
    </w:p>
    <w:p w:rsidR="00C51FE2" w:rsidRDefault="00C51FE2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Que los riesgos empresarios asumidos para el desarrollo de nuestras actividades y funciones, se correlacionan con nuestro objeto social y resultan de decisiones adoptadas por  </w:t>
      </w:r>
      <w:smartTag w:uri="urn:schemas-microsoft-com:office:smarttags" w:element="PersonName">
        <w:smartTagPr>
          <w:attr w:name="ProductID" w:val="la Sociedad"/>
        </w:smartTagPr>
        <w:r>
          <w:rPr>
            <w:sz w:val="20"/>
          </w:rPr>
          <w:t>la Sociedad</w:t>
        </w:r>
      </w:smartTag>
      <w:r>
        <w:rPr>
          <w:sz w:val="20"/>
        </w:rPr>
        <w:t xml:space="preserve"> en ejercicio de sus funciones. En tal sentido los activos aplicados en las actividades de ABCDE S.A. contemplan los siguientes (podrán presentarse a continuación del punto o como Anexo a la presente manifestación).</w:t>
      </w: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Que para el análisis de los precios de transferencia se han considerado un conjunto de elementos, documentos, circunstancias y acontecimientos que permitieran su adecuada valoración. Dicho estudio contempló (se indican en este punto: a) la metodología utilizada, con indicación del criterio y elementos objetivos considerados para determinar que la misma es la más apropiada a la transacción o empresa, así como las causas  por las cuales han sido desechadas las restantes metodologías de cálculo, b) los comparables seleccionados y/o desechados para la justificación de los precios de transferencia y c) las fuentes de información utilizadas). </w:t>
      </w: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Que las transacciones realizadas con los alcances contemplados en </w:t>
      </w:r>
      <w:smartTag w:uri="urn:schemas-microsoft-com:office:smarttags" w:element="PersonName">
        <w:smartTagPr>
          <w:attr w:name="ProductID" w:val="la Resolución General"/>
        </w:smartTagPr>
        <w:r>
          <w:rPr>
            <w:sz w:val="20"/>
          </w:rPr>
          <w:t>la Resolución General</w:t>
        </w:r>
      </w:smartTag>
      <w:r>
        <w:rPr>
          <w:sz w:val="20"/>
        </w:rPr>
        <w:t xml:space="preserve"> (A.F.I.P.) 1122 corresponden al siguiente detalle</w:t>
      </w:r>
    </w:p>
    <w:p w:rsidR="00C51FE2" w:rsidRDefault="00C51FE2">
      <w:pPr>
        <w:jc w:val="both"/>
        <w:rPr>
          <w:sz w:val="20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84"/>
        <w:gridCol w:w="1607"/>
        <w:gridCol w:w="2587"/>
      </w:tblGrid>
      <w:tr w:rsidR="00C51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1FE2" w:rsidRDefault="00C51F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Detalle Transacciones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1FE2" w:rsidRDefault="00C51F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Cuantificación Operaciones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E2" w:rsidRDefault="00C51F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Identificación Sujeto vinculado</w:t>
            </w:r>
          </w:p>
        </w:tc>
      </w:tr>
      <w:tr w:rsidR="00C51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4" w:type="dxa"/>
            <w:tcBorders>
              <w:left w:val="single" w:sz="2" w:space="0" w:color="000000"/>
              <w:bottom w:val="single" w:sz="2" w:space="0" w:color="000000"/>
            </w:tcBorders>
          </w:tcPr>
          <w:p w:rsidR="00C51FE2" w:rsidRDefault="00C51FE2">
            <w:pPr>
              <w:jc w:val="both"/>
              <w:rPr>
                <w:sz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C51FE2" w:rsidRDefault="00C51FE2">
            <w:pPr>
              <w:jc w:val="both"/>
              <w:rPr>
                <w:sz w:val="20"/>
              </w:rPr>
            </w:pPr>
          </w:p>
        </w:tc>
        <w:tc>
          <w:tcPr>
            <w:tcW w:w="2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E2" w:rsidRDefault="00C51FE2">
            <w:pPr>
              <w:jc w:val="both"/>
              <w:rPr>
                <w:sz w:val="20"/>
              </w:rPr>
            </w:pPr>
          </w:p>
        </w:tc>
      </w:tr>
      <w:tr w:rsidR="00C51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4" w:type="dxa"/>
            <w:tcBorders>
              <w:left w:val="single" w:sz="2" w:space="0" w:color="000000"/>
              <w:bottom w:val="single" w:sz="2" w:space="0" w:color="000000"/>
            </w:tcBorders>
          </w:tcPr>
          <w:p w:rsidR="00C51FE2" w:rsidRDefault="00C51FE2">
            <w:pPr>
              <w:jc w:val="both"/>
              <w:rPr>
                <w:sz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C51FE2" w:rsidRDefault="00C51FE2">
            <w:pPr>
              <w:jc w:val="both"/>
              <w:rPr>
                <w:sz w:val="20"/>
              </w:rPr>
            </w:pPr>
          </w:p>
        </w:tc>
        <w:tc>
          <w:tcPr>
            <w:tcW w:w="2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E2" w:rsidRDefault="00C51FE2">
            <w:pPr>
              <w:jc w:val="both"/>
              <w:rPr>
                <w:sz w:val="20"/>
              </w:rPr>
            </w:pPr>
          </w:p>
        </w:tc>
      </w:tr>
      <w:tr w:rsidR="00C51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84" w:type="dxa"/>
            <w:tcBorders>
              <w:left w:val="single" w:sz="2" w:space="0" w:color="000000"/>
              <w:bottom w:val="single" w:sz="2" w:space="0" w:color="000000"/>
            </w:tcBorders>
          </w:tcPr>
          <w:p w:rsidR="00C51FE2" w:rsidRDefault="00C51FE2">
            <w:pPr>
              <w:jc w:val="both"/>
              <w:rPr>
                <w:sz w:val="2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</w:tcPr>
          <w:p w:rsidR="00C51FE2" w:rsidRDefault="00C51FE2">
            <w:pPr>
              <w:jc w:val="both"/>
              <w:rPr>
                <w:sz w:val="20"/>
              </w:rPr>
            </w:pPr>
          </w:p>
        </w:tc>
        <w:tc>
          <w:tcPr>
            <w:tcW w:w="25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FE2" w:rsidRDefault="00C51FE2">
            <w:pPr>
              <w:jc w:val="both"/>
              <w:rPr>
                <w:sz w:val="20"/>
              </w:rPr>
            </w:pPr>
          </w:p>
        </w:tc>
      </w:tr>
    </w:tbl>
    <w:p w:rsidR="00C51FE2" w:rsidRDefault="00C51FE2">
      <w:pPr>
        <w:jc w:val="both"/>
        <w:rPr>
          <w:sz w:val="20"/>
        </w:rPr>
      </w:pPr>
    </w:p>
    <w:p w:rsidR="00C51FE2" w:rsidRDefault="00C51FE2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Que la determinación de la mediana y del rango intercuartil, responde a la metodología establecida en </w:t>
      </w:r>
      <w:smartTag w:uri="urn:schemas-microsoft-com:office:smarttags" w:element="PersonName">
        <w:smartTagPr>
          <w:attr w:name="ProductID" w:val="la Resolución General"/>
        </w:smartTagPr>
        <w:r>
          <w:rPr>
            <w:sz w:val="20"/>
          </w:rPr>
          <w:t>la Resolución General</w:t>
        </w:r>
      </w:smartTag>
      <w:r>
        <w:rPr>
          <w:sz w:val="20"/>
        </w:rPr>
        <w:t xml:space="preserve"> (A.F.I.P.) y que los ajustes que se estimaron necesarios se corresponden con (se indican en este punto: las registraciones contables de la sociedad o el detalle de la documentación relacionada)</w:t>
      </w:r>
    </w:p>
    <w:p w:rsidR="00C51FE2" w:rsidRDefault="00C51FE2">
      <w:pPr>
        <w:jc w:val="both"/>
        <w:rPr>
          <w:sz w:val="20"/>
        </w:rPr>
      </w:pPr>
      <w:r>
        <w:rPr>
          <w:sz w:val="20"/>
        </w:rPr>
        <w:t>.</w:t>
      </w:r>
    </w:p>
    <w:p w:rsidR="00C51FE2" w:rsidRDefault="00C51FE2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Que hemos puesto a su disposición todos los registros contables, su documentación respaldatoria y demás datos pertinentes asociados a la determinación de los Precios de Transferencia.</w:t>
      </w: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No hubo comunicaciones recibidas de entidades fiscalizadoras sobre incumplimiento o cumplimiento deficiente de nuestras obligaciones en cuanto a información de acuerdo a lo requerido por </w:t>
      </w:r>
      <w:smartTag w:uri="urn:schemas-microsoft-com:office:smarttags" w:element="PersonName">
        <w:smartTagPr>
          <w:attr w:name="ProductID" w:val="la Resolución General"/>
        </w:smartTagPr>
        <w:r>
          <w:rPr>
            <w:sz w:val="20"/>
          </w:rPr>
          <w:t>la Resolución General</w:t>
        </w:r>
      </w:smartTag>
      <w:r>
        <w:rPr>
          <w:sz w:val="20"/>
        </w:rPr>
        <w:t xml:space="preserve"> (A.F.I.P.) Nº 1122. </w:t>
      </w: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En los estados contables se han registrado o expuesto adecuadamente las operaciones y los respectivos montos por cobrar o pagar, honorarios, recupero de gastos, compras, etc. </w:t>
      </w: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Los registros de contabilidad que respaldan los estados contables reflejan de manera razonable y adecuada, a un nivel de detalle suficiente, las operaciones de </w:t>
      </w:r>
      <w:smartTag w:uri="urn:schemas-microsoft-com:office:smarttags" w:element="PersonName">
        <w:smartTagPr>
          <w:attr w:name="ProductID" w:val="la Sociedad."/>
        </w:smartTagPr>
        <w:r>
          <w:rPr>
            <w:sz w:val="20"/>
          </w:rPr>
          <w:t>la Sociedad.</w:t>
        </w:r>
      </w:smartTag>
    </w:p>
    <w:p w:rsidR="00C51FE2" w:rsidRDefault="00C51FE2">
      <w:pPr>
        <w:jc w:val="both"/>
        <w:rPr>
          <w:sz w:val="20"/>
        </w:rPr>
      </w:pPr>
    </w:p>
    <w:p w:rsidR="00C51FE2" w:rsidRDefault="00C51FE2">
      <w:pPr>
        <w:numPr>
          <w:ilvl w:val="0"/>
          <w:numId w:val="2"/>
        </w:numPr>
        <w:jc w:val="both"/>
        <w:rPr>
          <w:sz w:val="20"/>
        </w:rPr>
      </w:pPr>
      <w:smartTag w:uri="urn:schemas-microsoft-com:office:smarttags" w:element="PersonName">
        <w:smartTagPr>
          <w:attr w:name="ProductID" w:val="la Sociedad"/>
        </w:smartTagPr>
        <w:r>
          <w:rPr>
            <w:sz w:val="20"/>
          </w:rPr>
          <w:t>La Sociedad</w:t>
        </w:r>
      </w:smartTag>
      <w:r>
        <w:rPr>
          <w:sz w:val="20"/>
        </w:rPr>
        <w:t xml:space="preserve"> tiene título de propiedad satisfactorio de todos los activos que posee y que fueran identificados en el punto 2 precedente (o en anexo si corresponde).</w:t>
      </w: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jc w:val="both"/>
        <w:rPr>
          <w:sz w:val="20"/>
        </w:rPr>
      </w:pPr>
      <w:r>
        <w:rPr>
          <w:sz w:val="20"/>
        </w:rPr>
        <w:t>Sin otro particular, saludamos a Uds. Muy atentamente.</w:t>
      </w: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jc w:val="both"/>
        <w:rPr>
          <w:sz w:val="20"/>
        </w:rPr>
      </w:pPr>
      <w:r>
        <w:rPr>
          <w:sz w:val="20"/>
        </w:rPr>
        <w:t xml:space="preserve">Buenos Aires,             </w:t>
      </w:r>
    </w:p>
    <w:p w:rsidR="00C51FE2" w:rsidRDefault="00C51FE2">
      <w:pPr>
        <w:jc w:val="both"/>
        <w:rPr>
          <w:sz w:val="20"/>
        </w:rPr>
      </w:pPr>
    </w:p>
    <w:p w:rsidR="00C51FE2" w:rsidRDefault="00C51FE2">
      <w:pPr>
        <w:jc w:val="both"/>
        <w:rPr>
          <w:sz w:val="20"/>
        </w:rPr>
      </w:pPr>
    </w:p>
    <w:p w:rsidR="00C51FE2" w:rsidRDefault="00C51FE2" w:rsidP="00A76590">
      <w:pPr>
        <w:jc w:val="both"/>
      </w:pPr>
      <w:r>
        <w:rPr>
          <w:sz w:val="20"/>
        </w:rPr>
        <w:t xml:space="preserve">(Nota firmada por el presidente y redactada en papel membretado de </w:t>
      </w:r>
      <w:smartTag w:uri="urn:schemas-microsoft-com:office:smarttags" w:element="PersonName">
        <w:smartTagPr>
          <w:attr w:name="ProductID" w:val="la Sociedad"/>
        </w:smartTagPr>
        <w:r>
          <w:rPr>
            <w:sz w:val="20"/>
          </w:rPr>
          <w:t>la Sociedad</w:t>
        </w:r>
      </w:smartTag>
      <w:r>
        <w:rPr>
          <w:sz w:val="20"/>
        </w:rPr>
        <w:t>)</w:t>
      </w:r>
    </w:p>
    <w:sectPr w:rsidR="00C51FE2" w:rsidSect="00C51FE2">
      <w:footnotePr>
        <w:pos w:val="beneathText"/>
      </w:footnotePr>
      <w:pgSz w:w="12240" w:h="20166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suff w:val="nothing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suff w:val="nothing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suff w:val="nothing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suff w:val="nothing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suff w:val="nothing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suff w:val="nothing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suff w:val="nothing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suff w:val="nothing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suff w:val="nothing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suff w:val="nothing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suff w:val="nothing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CF9"/>
    <w:rsid w:val="000B388A"/>
    <w:rsid w:val="00731CF9"/>
    <w:rsid w:val="00A76590"/>
    <w:rsid w:val="00C5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3"/>
      </w:numPr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495D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WW-Fuentedeprrafopredeter">
    <w:name w:val="WW-Fuente de párrafo predeter."/>
    <w:uiPriority w:val="99"/>
  </w:style>
  <w:style w:type="character" w:customStyle="1" w:styleId="WW8Num2z0">
    <w:name w:val="WW8Num2z0"/>
    <w:uiPriority w:val="99"/>
    <w:rPr>
      <w:rFonts w:ascii="Wingdings" w:hAnsi="Wingdings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Wingdings" w:hAnsi="Wingdings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3">
    <w:name w:val="WW8Num4z3"/>
    <w:uiPriority w:val="99"/>
    <w:rPr>
      <w:rFonts w:ascii="Symbol" w:hAnsi="Symbol"/>
    </w:rPr>
  </w:style>
  <w:style w:type="paragraph" w:styleId="Header">
    <w:name w:val="header"/>
    <w:basedOn w:val="Normal"/>
    <w:next w:val="BodyText"/>
    <w:link w:val="HeaderChar"/>
    <w:uiPriority w:val="99"/>
    <w:pPr>
      <w:keepNext/>
      <w:spacing w:before="240" w:after="120"/>
    </w:pPr>
    <w:rPr>
      <w:rFonts w:ascii="Arial" w:hAnsi="Arial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C495D"/>
    <w:rPr>
      <w:sz w:val="24"/>
      <w:szCs w:val="20"/>
      <w:lang w:val="es-ES" w:eastAsia="es-ES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495D"/>
    <w:rPr>
      <w:sz w:val="24"/>
      <w:szCs w:val="20"/>
      <w:lang w:val="es-ES" w:eastAsia="es-ES"/>
    </w:rPr>
  </w:style>
  <w:style w:type="paragraph" w:customStyle="1" w:styleId="Contenidodelatabla">
    <w:name w:val="Contenido de la tabla"/>
    <w:basedOn w:val="BodyText"/>
    <w:uiPriority w:val="99"/>
  </w:style>
  <w:style w:type="paragraph" w:customStyle="1" w:styleId="Encabezadodelatabla">
    <w:name w:val="Encabezado de la tabla"/>
    <w:basedOn w:val="Contenidodelatabla"/>
    <w:uiPriority w:val="99"/>
    <w:pPr>
      <w:jc w:val="center"/>
    </w:pPr>
    <w:rPr>
      <w:b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483</Words>
  <Characters>2662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la Gerencia</dc:title>
  <dc:subject/>
  <dc:creator>CPCECABA</dc:creator>
  <cp:keywords/>
  <dc:description/>
  <cp:lastModifiedBy>etagliabue</cp:lastModifiedBy>
  <cp:revision>2</cp:revision>
  <dcterms:created xsi:type="dcterms:W3CDTF">2018-10-16T14:44:00Z</dcterms:created>
  <dcterms:modified xsi:type="dcterms:W3CDTF">2018-10-16T14:44:00Z</dcterms:modified>
</cp:coreProperties>
</file>